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63.84000015258789"/>
          <w:szCs w:val="63.84000015258789"/>
          <w:highlight w:val="yellow"/>
          <w:u w:val="none"/>
          <w:vertAlign w:val="baseline"/>
          <w:rtl w:val="0"/>
        </w:rPr>
        <w:t xml:space="preserve">Todos Métodos de aturdimiento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yellow"/>
          <w:u w:val="none"/>
          <w:vertAlign w:val="baseline"/>
          <w:rtl w:val="0"/>
        </w:rPr>
        <w:t xml:space="preserve">Inconsciente, pero comenzando a Transición Volver a Conciencia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  <w:rtl w:val="0"/>
        </w:rPr>
        <w:t xml:space="preserve">Situaciones en las que una segunda aplicación del aturdidor eléctrico impide volver a la sensibilidad.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6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9.91999816894531"/>
          <w:szCs w:val="49.91999816894531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  <w:rtl w:val="0"/>
        </w:rPr>
        <w:t xml:space="preserve">Córnea débil Reflejo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8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9.91999816894531"/>
          <w:szCs w:val="49.91999816894531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  <w:rtl w:val="0"/>
        </w:rPr>
        <w:t xml:space="preserve">Pestaña Reflejo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8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9.91999816894531"/>
          <w:szCs w:val="49.91999816894531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  <w:rtl w:val="0"/>
        </w:rPr>
        <w:t xml:space="preserve">Rítmica Respiración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6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56.15999984741211"/>
          <w:szCs w:val="56.15999984741211"/>
          <w:u w:val="none"/>
          <w:shd w:fill="auto" w:val="clear"/>
          <w:vertAlign w:val="baseline"/>
          <w:rtl w:val="0"/>
        </w:rPr>
        <w:t xml:space="preserve">Todos los indicadores de la consciencia definida deben estar ausentes </w:t>
      </w:r>
    </w:p>
    <w:sectPr>
      <w:pgSz w:h="12240" w:w="15840"/>
      <w:pgMar w:bottom="720" w:top="72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